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C8" w:rsidRPr="000F329B" w:rsidRDefault="002413BD">
      <w:pPr>
        <w:rPr>
          <w:b/>
          <w:sz w:val="28"/>
          <w:szCs w:val="28"/>
          <w:u w:val="single"/>
        </w:rPr>
      </w:pPr>
      <w:r w:rsidRPr="000F329B">
        <w:rPr>
          <w:b/>
          <w:sz w:val="28"/>
          <w:szCs w:val="28"/>
          <w:u w:val="single"/>
        </w:rPr>
        <w:t>Description</w:t>
      </w:r>
      <w:r w:rsidR="007238B4">
        <w:rPr>
          <w:b/>
          <w:sz w:val="28"/>
          <w:szCs w:val="28"/>
          <w:u w:val="single"/>
        </w:rPr>
        <w:t xml:space="preserve"> pour cahier de charges</w:t>
      </w:r>
      <w:r w:rsidR="006B1B69">
        <w:rPr>
          <w:b/>
          <w:sz w:val="28"/>
          <w:szCs w:val="28"/>
          <w:u w:val="single"/>
        </w:rPr>
        <w:t xml:space="preserve"> Ritterdal</w:t>
      </w:r>
      <w:r w:rsidRPr="000F329B">
        <w:rPr>
          <w:b/>
          <w:sz w:val="28"/>
          <w:szCs w:val="28"/>
          <w:u w:val="single"/>
        </w:rPr>
        <w:t xml:space="preserve"> dalle gazon</w:t>
      </w:r>
    </w:p>
    <w:p w:rsidR="002413BD" w:rsidRDefault="00F97D30">
      <w:pPr>
        <w:rPr>
          <w:color w:val="44546A" w:themeColor="text2"/>
          <w:u w:val="single"/>
        </w:rPr>
      </w:pPr>
      <w:r>
        <w:rPr>
          <w:color w:val="44546A" w:themeColor="text2"/>
          <w:u w:val="single"/>
        </w:rPr>
        <w:t>Consolidation drainante</w:t>
      </w:r>
      <w:r w:rsidR="002413BD" w:rsidRPr="002413BD">
        <w:rPr>
          <w:color w:val="44546A" w:themeColor="text2"/>
          <w:u w:val="single"/>
        </w:rPr>
        <w:t xml:space="preserve"> de dalles pour gazon en PE-HD</w:t>
      </w:r>
    </w:p>
    <w:p w:rsidR="00B62DD1" w:rsidRDefault="00B62DD1">
      <w:pPr>
        <w:rPr>
          <w:color w:val="44546A" w:themeColor="text2"/>
          <w:u w:val="single"/>
        </w:rPr>
      </w:pPr>
      <w:bookmarkStart w:id="0" w:name="_GoBack"/>
      <w:bookmarkEnd w:id="0"/>
    </w:p>
    <w:p w:rsidR="00B62DD1" w:rsidRPr="00B62DD1" w:rsidRDefault="00B62DD1">
      <w:pPr>
        <w:rPr>
          <w:b/>
          <w:u w:val="single"/>
        </w:rPr>
      </w:pPr>
      <w:r w:rsidRPr="00B62DD1">
        <w:rPr>
          <w:b/>
          <w:u w:val="single"/>
        </w:rPr>
        <w:t>Mesurage</w:t>
      </w:r>
    </w:p>
    <w:p w:rsidR="00B62DD1" w:rsidRPr="00282D1A" w:rsidRDefault="00D5656F" w:rsidP="00B62DD1">
      <w:r>
        <w:t>QF</w:t>
      </w:r>
      <w:r w:rsidR="00B62DD1" w:rsidRPr="00282D1A">
        <w:t xml:space="preserve">, m², </w:t>
      </w:r>
      <w:r w:rsidR="007B6421" w:rsidRPr="00282D1A">
        <w:t>surface nette</w:t>
      </w:r>
    </w:p>
    <w:p w:rsidR="00B62DD1" w:rsidRPr="00282D1A" w:rsidRDefault="00B62DD1" w:rsidP="00B62DD1">
      <w:pPr>
        <w:rPr>
          <w:b/>
          <w:u w:val="single"/>
        </w:rPr>
      </w:pPr>
      <w:r w:rsidRPr="00282D1A">
        <w:rPr>
          <w:b/>
          <w:u w:val="single"/>
        </w:rPr>
        <w:t xml:space="preserve">Description </w:t>
      </w:r>
    </w:p>
    <w:p w:rsidR="007B6421" w:rsidRDefault="00282D1A" w:rsidP="00B62DD1">
      <w:r>
        <w:t>C</w:t>
      </w:r>
      <w:r w:rsidR="00B62DD1" w:rsidRPr="00B62DD1">
        <w:t xml:space="preserve">oncerne la livraison, mise en œuvre et remplissage de dalle gazon </w:t>
      </w:r>
      <w:r w:rsidR="00EB3B41">
        <w:t>synthétique sur une fondation</w:t>
      </w:r>
      <w:r w:rsidR="00B62DD1">
        <w:t>, comprenant la mise en place éventuelle de</w:t>
      </w:r>
      <w:r w:rsidR="007B6421">
        <w:t xml:space="preserve"> plot</w:t>
      </w:r>
      <w:r w:rsidR="006B269E">
        <w:t>s</w:t>
      </w:r>
      <w:r w:rsidR="007B6421">
        <w:t xml:space="preserve"> de marquage et l’entretien de la surface posée.</w:t>
      </w:r>
    </w:p>
    <w:p w:rsidR="007B6421" w:rsidRDefault="007B6421" w:rsidP="00B62DD1">
      <w:pPr>
        <w:rPr>
          <w:b/>
          <w:u w:val="single"/>
        </w:rPr>
      </w:pPr>
      <w:r w:rsidRPr="007B6421">
        <w:rPr>
          <w:b/>
          <w:u w:val="single"/>
        </w:rPr>
        <w:t>Matériel</w:t>
      </w:r>
    </w:p>
    <w:p w:rsidR="007B6421" w:rsidRDefault="007B6421" w:rsidP="007B6421">
      <w:pPr>
        <w:pStyle w:val="Paragraphedeliste"/>
        <w:numPr>
          <w:ilvl w:val="0"/>
          <w:numId w:val="1"/>
        </w:numPr>
      </w:pPr>
      <w:r>
        <w:t>Dalle synthétique fabriquée avec du PE-HD recyclé</w:t>
      </w:r>
      <w:r w:rsidR="00153D2E">
        <w:t>.</w:t>
      </w:r>
    </w:p>
    <w:p w:rsidR="007B6421" w:rsidRDefault="007B6421" w:rsidP="007B6421">
      <w:pPr>
        <w:pStyle w:val="Paragraphedeliste"/>
        <w:numPr>
          <w:ilvl w:val="0"/>
          <w:numId w:val="1"/>
        </w:numPr>
      </w:pPr>
      <w:r>
        <w:t>Résistant aux UV</w:t>
      </w:r>
      <w:r w:rsidR="00153D2E">
        <w:t>.</w:t>
      </w:r>
    </w:p>
    <w:p w:rsidR="007B6421" w:rsidRDefault="007B6421" w:rsidP="007B6421">
      <w:pPr>
        <w:pStyle w:val="Paragraphedeliste"/>
        <w:numPr>
          <w:ilvl w:val="0"/>
          <w:numId w:val="1"/>
        </w:numPr>
      </w:pPr>
      <w:r>
        <w:t>Pourvu de joint</w:t>
      </w:r>
      <w:r w:rsidR="00D5656F">
        <w:t>s</w:t>
      </w:r>
      <w:r>
        <w:t xml:space="preserve"> de dilatation pour les écarts thermiques</w:t>
      </w:r>
      <w:r w:rsidR="00153D2E">
        <w:t>.</w:t>
      </w:r>
    </w:p>
    <w:p w:rsidR="007B6421" w:rsidRDefault="007B6421" w:rsidP="007B6421">
      <w:pPr>
        <w:pStyle w:val="Paragraphedeliste"/>
        <w:numPr>
          <w:ilvl w:val="0"/>
          <w:numId w:val="1"/>
        </w:numPr>
      </w:pPr>
      <w:r>
        <w:t>Pourvu de bords ouverts permettant un assemblage en quinconce</w:t>
      </w:r>
      <w:r w:rsidR="00153D2E">
        <w:t>.</w:t>
      </w:r>
    </w:p>
    <w:p w:rsidR="007B6421" w:rsidRPr="007B6421" w:rsidRDefault="007B6421" w:rsidP="007B6421">
      <w:pPr>
        <w:pStyle w:val="Paragraphedeliste"/>
        <w:numPr>
          <w:ilvl w:val="0"/>
          <w:numId w:val="1"/>
        </w:numPr>
      </w:pPr>
      <w:r>
        <w:t xml:space="preserve">Charge surfacique </w:t>
      </w:r>
      <w:r w:rsidRPr="007B6421">
        <w:t>≥ 100</w:t>
      </w:r>
      <w:r w:rsidR="00D5656F">
        <w:t xml:space="preserve"> </w:t>
      </w:r>
      <w:r w:rsidRPr="007B6421">
        <w:t xml:space="preserve">T/m²  </w:t>
      </w:r>
      <w:r w:rsidR="00D5656F">
        <w:rPr>
          <w:b/>
          <w:color w:val="FF0000"/>
        </w:rPr>
        <w:t>-Note</w:t>
      </w:r>
      <w:r w:rsidRPr="007B6421">
        <w:rPr>
          <w:b/>
          <w:color w:val="FF0000"/>
        </w:rPr>
        <w:t xml:space="preserve"> :</w:t>
      </w:r>
      <w:r>
        <w:rPr>
          <w:b/>
          <w:color w:val="FF0000"/>
        </w:rPr>
        <w:t xml:space="preserve"> </w:t>
      </w:r>
      <w:r w:rsidR="00D5656F">
        <w:t>Les r</w:t>
      </w:r>
      <w:r>
        <w:t xml:space="preserve">ésultats de tests en laboratoire (LGA. Allemand </w:t>
      </w:r>
      <w:r w:rsidRPr="007B6421">
        <w:t>Din 1072, Din 14090</w:t>
      </w:r>
      <w:r w:rsidR="00D5656F">
        <w:t xml:space="preserve"> en Din 53454) sont disponibles</w:t>
      </w:r>
      <w:r w:rsidR="00153D2E">
        <w:t>.</w:t>
      </w:r>
    </w:p>
    <w:p w:rsidR="007B6421" w:rsidRDefault="00282D1A" w:rsidP="007B6421">
      <w:pPr>
        <w:pStyle w:val="Paragraphedeliste"/>
        <w:numPr>
          <w:ilvl w:val="0"/>
          <w:numId w:val="1"/>
        </w:numPr>
      </w:pPr>
      <w:r>
        <w:t>Dimension</w:t>
      </w:r>
      <w:r w:rsidR="007B6421">
        <w:t xml:space="preserve"> au sol </w:t>
      </w:r>
      <w:r w:rsidR="007B6421" w:rsidRPr="007B6421">
        <w:t>: 50 x 39 x 4,5 cm</w:t>
      </w:r>
      <w:r w:rsidR="00153D2E">
        <w:t>.</w:t>
      </w:r>
    </w:p>
    <w:p w:rsidR="00A04DB4" w:rsidRDefault="00D5656F" w:rsidP="00A04DB4">
      <w:pPr>
        <w:pStyle w:val="Paragraphedeliste"/>
        <w:numPr>
          <w:ilvl w:val="0"/>
          <w:numId w:val="1"/>
        </w:numPr>
      </w:pPr>
      <w:r>
        <w:t>Dalles</w:t>
      </w:r>
      <w:r w:rsidR="006B269E">
        <w:t xml:space="preserve"> avec structure</w:t>
      </w:r>
      <w:r>
        <w:t xml:space="preserve"> en forme de</w:t>
      </w:r>
      <w:r w:rsidR="00275925">
        <w:t xml:space="preserve"> nids d’abeilles au-dessus et </w:t>
      </w:r>
      <w:r w:rsidR="00F03C37">
        <w:t>ouverture</w:t>
      </w:r>
      <w:r w:rsidR="00663A40">
        <w:t>s</w:t>
      </w:r>
      <w:r w:rsidR="00F03C37">
        <w:t xml:space="preserve"> ronde</w:t>
      </w:r>
      <w:r w:rsidR="00663A40">
        <w:t>s</w:t>
      </w:r>
      <w:r w:rsidR="00F03C37">
        <w:t xml:space="preserve"> e</w:t>
      </w:r>
      <w:r w:rsidR="00663A40">
        <w:t>n-dessous pour une surface solide</w:t>
      </w:r>
      <w:r w:rsidR="00F03C37">
        <w:t xml:space="preserve"> </w:t>
      </w:r>
      <w:r w:rsidR="00663A40">
        <w:t>permettant une croissance maximale du gazon</w:t>
      </w:r>
      <w:r w:rsidR="00F03C37">
        <w:t xml:space="preserve">. </w:t>
      </w:r>
      <w:r w:rsidR="006B269E">
        <w:t>Les ouvertures préviennent le pourrissement</w:t>
      </w:r>
      <w:r w:rsidR="00F03C37">
        <w:t xml:space="preserve"> </w:t>
      </w:r>
      <w:r w:rsidR="00A04DB4">
        <w:t xml:space="preserve">des racines et </w:t>
      </w:r>
      <w:r w:rsidR="00663A40">
        <w:t xml:space="preserve">leur </w:t>
      </w:r>
      <w:r w:rsidR="00A04DB4">
        <w:t xml:space="preserve">permet d’être bien ancrées </w:t>
      </w:r>
      <w:r w:rsidR="00663A40">
        <w:t>dans le sol</w:t>
      </w:r>
      <w:r w:rsidR="00153D2E">
        <w:t>.</w:t>
      </w:r>
    </w:p>
    <w:p w:rsidR="00A04DB4" w:rsidRDefault="00A04DB4" w:rsidP="00A04DB4">
      <w:pPr>
        <w:pStyle w:val="Paragraphedeliste"/>
        <w:numPr>
          <w:ilvl w:val="0"/>
          <w:numId w:val="1"/>
        </w:numPr>
      </w:pPr>
      <w:r>
        <w:t>Dispo</w:t>
      </w:r>
      <w:r w:rsidR="00663A40">
        <w:t>nible en couleur verte ou noire</w:t>
      </w:r>
      <w:r w:rsidR="00153D2E">
        <w:t>.</w:t>
      </w:r>
    </w:p>
    <w:p w:rsidR="00A04DB4" w:rsidRDefault="00A04DB4" w:rsidP="00A04DB4">
      <w:pPr>
        <w:pStyle w:val="Paragraphedeliste"/>
        <w:numPr>
          <w:ilvl w:val="0"/>
          <w:numId w:val="1"/>
        </w:numPr>
      </w:pPr>
      <w:r>
        <w:t xml:space="preserve">Les dalles sont résistantes </w:t>
      </w:r>
      <w:r w:rsidR="00663A40">
        <w:t>aux</w:t>
      </w:r>
      <w:r>
        <w:t xml:space="preserve"> </w:t>
      </w:r>
      <w:r w:rsidR="005D35CB">
        <w:t>influences</w:t>
      </w:r>
      <w:r w:rsidR="00663A40">
        <w:t xml:space="preserve"> atmosphériques et aux</w:t>
      </w:r>
      <w:r>
        <w:t xml:space="preserve"> </w:t>
      </w:r>
      <w:r w:rsidR="00663A40">
        <w:t>intempéries</w:t>
      </w:r>
      <w:r w:rsidR="00153D2E">
        <w:t>.</w:t>
      </w:r>
    </w:p>
    <w:p w:rsidR="00D52686" w:rsidRDefault="00A04DB4" w:rsidP="00A04DB4">
      <w:pPr>
        <w:pStyle w:val="Paragraphedeliste"/>
        <w:numPr>
          <w:ilvl w:val="0"/>
          <w:numId w:val="1"/>
        </w:numPr>
      </w:pPr>
      <w:r>
        <w:t xml:space="preserve">Les dalles sont </w:t>
      </w:r>
      <w:r w:rsidR="00D52686">
        <w:t>neutres</w:t>
      </w:r>
      <w:r>
        <w:t xml:space="preserve"> pour l’</w:t>
      </w:r>
      <w:r w:rsidR="00D52686">
        <w:t>environnement, ne nuisent pas aux nappes phréatiques et sont ré</w:t>
      </w:r>
      <w:r w:rsidR="00663A40">
        <w:t xml:space="preserve">sistantes aux acides, </w:t>
      </w:r>
      <w:r w:rsidR="00D52686">
        <w:t>alcools</w:t>
      </w:r>
      <w:r w:rsidR="00663A40">
        <w:t xml:space="preserve"> et autres agents chimiques</w:t>
      </w:r>
      <w:r w:rsidR="00D52686">
        <w:t xml:space="preserve"> (ex : sels de déneigement, ammoniaque, pluies acides,…)</w:t>
      </w:r>
      <w:r w:rsidR="00153D2E">
        <w:t>.</w:t>
      </w:r>
    </w:p>
    <w:p w:rsidR="00A04DB4" w:rsidRPr="007B6421" w:rsidRDefault="00D52686" w:rsidP="00A04DB4">
      <w:pPr>
        <w:pStyle w:val="Paragraphedeliste"/>
        <w:numPr>
          <w:ilvl w:val="0"/>
          <w:numId w:val="1"/>
        </w:numPr>
      </w:pPr>
      <w:r>
        <w:t>Les dalles</w:t>
      </w:r>
      <w:r w:rsidR="006B269E">
        <w:t xml:space="preserve"> ont une certification ISO 9001</w:t>
      </w:r>
      <w:r w:rsidR="00153D2E">
        <w:t>.</w:t>
      </w:r>
    </w:p>
    <w:p w:rsidR="00B62DD1" w:rsidRPr="00B62DD1" w:rsidRDefault="00282D1A" w:rsidP="00B62DD1">
      <w:r w:rsidRPr="00331FBF">
        <w:rPr>
          <w:noProof/>
          <w:lang w:eastAsia="fr-BE"/>
        </w:rPr>
        <w:drawing>
          <wp:anchor distT="0" distB="0" distL="114300" distR="114300" simplePos="0" relativeHeight="251658240" behindDoc="0" locked="0" layoutInCell="1" allowOverlap="1" wp14:anchorId="3DA5DD51" wp14:editId="1F285328">
            <wp:simplePos x="0" y="0"/>
            <wp:positionH relativeFrom="margin">
              <wp:align>center</wp:align>
            </wp:positionH>
            <wp:positionV relativeFrom="paragraph">
              <wp:posOffset>247015</wp:posOffset>
            </wp:positionV>
            <wp:extent cx="3762375" cy="2276475"/>
            <wp:effectExtent l="0" t="0" r="9525" b="9525"/>
            <wp:wrapSquare wrapText="bothSides"/>
            <wp:docPr id="2" name="Image 2" descr="\\Pc-graphisme\pictures\PRODUITS GEOTECHNIQUES\Dalles gazon gravier\Ritter\Ritter gazon\Produit\produit couches et cont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graphisme\pictures\PRODUITS GEOTECHNIQUES\Dalles gazon gravier\Ritter\Ritter gazon\Produit\produit couches et conten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2276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62DD1" w:rsidRDefault="00B62DD1">
      <w:pPr>
        <w:rPr>
          <w:u w:val="single"/>
        </w:rPr>
      </w:pPr>
    </w:p>
    <w:p w:rsidR="00282D1A" w:rsidRDefault="00282D1A">
      <w:pPr>
        <w:rPr>
          <w:u w:val="single"/>
        </w:rPr>
      </w:pPr>
    </w:p>
    <w:p w:rsidR="00282D1A" w:rsidRDefault="00282D1A">
      <w:pPr>
        <w:rPr>
          <w:u w:val="single"/>
        </w:rPr>
      </w:pPr>
    </w:p>
    <w:p w:rsidR="00282D1A" w:rsidRDefault="00282D1A">
      <w:pPr>
        <w:rPr>
          <w:u w:val="single"/>
        </w:rPr>
      </w:pPr>
    </w:p>
    <w:p w:rsidR="00282D1A" w:rsidRDefault="00282D1A">
      <w:pPr>
        <w:rPr>
          <w:u w:val="single"/>
        </w:rPr>
      </w:pPr>
    </w:p>
    <w:p w:rsidR="00282D1A" w:rsidRDefault="00282D1A">
      <w:pPr>
        <w:rPr>
          <w:u w:val="single"/>
        </w:rPr>
      </w:pPr>
    </w:p>
    <w:p w:rsidR="00282D1A" w:rsidRDefault="00282D1A">
      <w:pPr>
        <w:rPr>
          <w:u w:val="single"/>
        </w:rPr>
      </w:pPr>
    </w:p>
    <w:p w:rsidR="00282D1A" w:rsidRDefault="00282D1A">
      <w:pPr>
        <w:rPr>
          <w:u w:val="single"/>
        </w:rPr>
      </w:pPr>
    </w:p>
    <w:p w:rsidR="00282D1A" w:rsidRDefault="00282D1A">
      <w:pPr>
        <w:rPr>
          <w:u w:val="single"/>
        </w:rPr>
      </w:pPr>
    </w:p>
    <w:p w:rsidR="00282D1A" w:rsidRDefault="00282D1A">
      <w:pPr>
        <w:rPr>
          <w:u w:val="single"/>
        </w:rPr>
      </w:pPr>
    </w:p>
    <w:p w:rsidR="00E85CAD" w:rsidRDefault="00E85CAD">
      <w:pPr>
        <w:rPr>
          <w:b/>
          <w:u w:val="single"/>
        </w:rPr>
      </w:pPr>
    </w:p>
    <w:p w:rsidR="00282D1A" w:rsidRDefault="00282D1A">
      <w:pPr>
        <w:rPr>
          <w:b/>
          <w:u w:val="single"/>
        </w:rPr>
      </w:pPr>
      <w:r w:rsidRPr="00282D1A">
        <w:rPr>
          <w:b/>
          <w:u w:val="single"/>
        </w:rPr>
        <w:lastRenderedPageBreak/>
        <w:t>Mise en œuvre</w:t>
      </w:r>
    </w:p>
    <w:p w:rsidR="00282D1A" w:rsidRDefault="00282D1A" w:rsidP="00282D1A">
      <w:pPr>
        <w:pStyle w:val="Paragraphedeliste"/>
        <w:numPr>
          <w:ilvl w:val="0"/>
          <w:numId w:val="2"/>
        </w:numPr>
      </w:pPr>
      <w:r w:rsidRPr="00F95D99">
        <w:t xml:space="preserve">Application d’un géotextile </w:t>
      </w:r>
      <w:r w:rsidR="00F95D99" w:rsidRPr="00F95D99">
        <w:t>sous le lit de porteur</w:t>
      </w:r>
      <w:r w:rsidR="00F95D99">
        <w:t>.</w:t>
      </w:r>
    </w:p>
    <w:p w:rsidR="00F95D99" w:rsidRPr="005E0D1C" w:rsidRDefault="00F95D99" w:rsidP="00282D1A">
      <w:pPr>
        <w:pStyle w:val="Paragraphedeliste"/>
        <w:numPr>
          <w:ilvl w:val="0"/>
          <w:numId w:val="2"/>
        </w:numPr>
      </w:pPr>
      <w:r>
        <w:t xml:space="preserve">Lit porteur à base de concassé avec une </w:t>
      </w:r>
      <w:r w:rsidR="00607D13">
        <w:t>épaisseur</w:t>
      </w:r>
      <w:r>
        <w:t xml:space="preserve"> déterminée par l’architecte, en fonction de l’application. Exemple de calibre en gravier </w:t>
      </w:r>
      <w:r w:rsidRPr="00607D13">
        <w:t>ø10/32.</w:t>
      </w:r>
    </w:p>
    <w:p w:rsidR="00607D13" w:rsidRPr="00153D2E" w:rsidRDefault="00153D2E" w:rsidP="005E0D1C">
      <w:pPr>
        <w:pStyle w:val="Paragraphedeliste"/>
        <w:rPr>
          <w:u w:val="single"/>
        </w:rPr>
      </w:pPr>
      <w:r>
        <w:t>É</w:t>
      </w:r>
      <w:r w:rsidR="005E0D1C" w:rsidRPr="00607D13">
        <w:t>paisseur</w:t>
      </w:r>
      <w:r w:rsidR="00607D13" w:rsidRPr="00607D13">
        <w:t xml:space="preserve"> lit porteur:        </w:t>
      </w:r>
      <w:r w:rsidR="00607D13" w:rsidRPr="00153D2E">
        <w:rPr>
          <w:b/>
          <w:u w:val="single"/>
        </w:rPr>
        <w:t xml:space="preserve">Fonction </w:t>
      </w:r>
      <w:r w:rsidR="00607D13" w:rsidRPr="00153D2E">
        <w:rPr>
          <w:b/>
        </w:rPr>
        <w:t xml:space="preserve">             </w:t>
      </w:r>
      <w:r w:rsidR="00607D13" w:rsidRPr="00153D2E">
        <w:rPr>
          <w:b/>
        </w:rPr>
        <w:tab/>
        <w:t xml:space="preserve">  </w:t>
      </w:r>
      <w:r>
        <w:rPr>
          <w:b/>
          <w:u w:val="single"/>
        </w:rPr>
        <w:t>É</w:t>
      </w:r>
      <w:r w:rsidR="00607D13" w:rsidRPr="00153D2E">
        <w:rPr>
          <w:b/>
          <w:u w:val="single"/>
        </w:rPr>
        <w:t>paisseur</w:t>
      </w:r>
    </w:p>
    <w:p w:rsidR="005E0D1C" w:rsidRDefault="009F0B51" w:rsidP="009F0B51">
      <w:pPr>
        <w:pStyle w:val="Paragraphedeliste"/>
        <w:tabs>
          <w:tab w:val="left" w:pos="2977"/>
          <w:tab w:val="left" w:pos="5103"/>
        </w:tabs>
      </w:pPr>
      <w:r>
        <w:tab/>
        <w:t>Voitures</w:t>
      </w:r>
      <w:r>
        <w:tab/>
      </w:r>
      <w:r w:rsidR="00607D13">
        <w:t>20-30</w:t>
      </w:r>
      <w:r w:rsidR="00153D2E">
        <w:t xml:space="preserve"> </w:t>
      </w:r>
      <w:r w:rsidR="00607D13">
        <w:t>cm</w:t>
      </w:r>
    </w:p>
    <w:p w:rsidR="00607D13" w:rsidRPr="00607D13" w:rsidRDefault="009F0B51" w:rsidP="009F0B51">
      <w:pPr>
        <w:pStyle w:val="Paragraphedeliste"/>
        <w:tabs>
          <w:tab w:val="left" w:pos="2977"/>
          <w:tab w:val="left" w:pos="5103"/>
        </w:tabs>
      </w:pPr>
      <w:r>
        <w:tab/>
        <w:t>Accès Pompiers</w:t>
      </w:r>
      <w:r>
        <w:tab/>
      </w:r>
      <w:r w:rsidR="00607D13" w:rsidRPr="00607D13">
        <w:t>30-50</w:t>
      </w:r>
      <w:r w:rsidR="00153D2E">
        <w:t xml:space="preserve"> </w:t>
      </w:r>
      <w:r w:rsidR="00607D13" w:rsidRPr="00607D13">
        <w:t>cm</w:t>
      </w:r>
    </w:p>
    <w:p w:rsidR="00607D13" w:rsidRPr="009F0B51" w:rsidRDefault="009F0B51" w:rsidP="009F0B51">
      <w:pPr>
        <w:pStyle w:val="Paragraphedeliste"/>
        <w:tabs>
          <w:tab w:val="left" w:pos="2977"/>
          <w:tab w:val="left" w:pos="5103"/>
        </w:tabs>
        <w:spacing w:after="100" w:line="240" w:lineRule="auto"/>
      </w:pPr>
      <w:r>
        <w:tab/>
        <w:t>Camions</w:t>
      </w:r>
      <w:r>
        <w:tab/>
      </w:r>
      <w:r w:rsidR="00607D13" w:rsidRPr="009F0B51">
        <w:t>45-60</w:t>
      </w:r>
      <w:r w:rsidR="00153D2E" w:rsidRPr="009F0B51">
        <w:t xml:space="preserve"> </w:t>
      </w:r>
      <w:r w:rsidR="00607D13" w:rsidRPr="009F0B51">
        <w:t>cm</w:t>
      </w:r>
    </w:p>
    <w:p w:rsidR="00607D13" w:rsidRPr="009F0B51" w:rsidRDefault="00A013A9" w:rsidP="00607D13">
      <w:pPr>
        <w:pStyle w:val="Paragraphedeliste"/>
        <w:numPr>
          <w:ilvl w:val="0"/>
          <w:numId w:val="2"/>
        </w:numPr>
        <w:spacing w:after="100" w:line="240" w:lineRule="auto"/>
      </w:pPr>
      <w:r w:rsidRPr="009F0B51">
        <w:t>Damer</w:t>
      </w:r>
      <w:r w:rsidR="007B533F" w:rsidRPr="009F0B51">
        <w:t xml:space="preserve"> le l</w:t>
      </w:r>
      <w:r w:rsidR="00153D2E" w:rsidRPr="009F0B51">
        <w:t>it porteur.</w:t>
      </w:r>
    </w:p>
    <w:p w:rsidR="007B533F" w:rsidRPr="00190D68" w:rsidRDefault="007B533F" w:rsidP="00607D13">
      <w:pPr>
        <w:pStyle w:val="Paragraphedeliste"/>
        <w:numPr>
          <w:ilvl w:val="0"/>
          <w:numId w:val="2"/>
        </w:numPr>
        <w:spacing w:after="100" w:line="240" w:lineRule="auto"/>
      </w:pPr>
      <w:r w:rsidRPr="00190D68">
        <w:t>Application d’un géotextile</w:t>
      </w:r>
      <w:r w:rsidR="004C23A5">
        <w:t xml:space="preserve"> non-</w:t>
      </w:r>
      <w:r w:rsidR="00190D68" w:rsidRPr="00190D68">
        <w:t>tissé sur le lit porteur</w:t>
      </w:r>
      <w:r w:rsidR="00153D2E">
        <w:t>.</w:t>
      </w:r>
    </w:p>
    <w:p w:rsidR="00190D68" w:rsidRDefault="00190D68" w:rsidP="00607D13">
      <w:pPr>
        <w:pStyle w:val="Paragraphedeliste"/>
        <w:numPr>
          <w:ilvl w:val="0"/>
          <w:numId w:val="2"/>
        </w:numPr>
        <w:spacing w:after="100" w:line="240" w:lineRule="auto"/>
      </w:pPr>
      <w:r>
        <w:t xml:space="preserve">Application d’un lit de pose en fin gravier </w:t>
      </w:r>
      <w:r w:rsidRPr="00190D68">
        <w:t>ø2/7</w:t>
      </w:r>
      <w:r>
        <w:t xml:space="preserve"> à </w:t>
      </w:r>
      <w:r w:rsidR="00A013A9">
        <w:t>damer</w:t>
      </w:r>
      <w:r>
        <w:t xml:space="preserve"> jusqu’à 4 à 5</w:t>
      </w:r>
      <w:r w:rsidR="009F0B51">
        <w:t xml:space="preserve"> </w:t>
      </w:r>
      <w:r>
        <w:t>cm.</w:t>
      </w:r>
    </w:p>
    <w:p w:rsidR="00190D68" w:rsidRDefault="00A013A9" w:rsidP="00607D13">
      <w:pPr>
        <w:pStyle w:val="Paragraphedeliste"/>
        <w:numPr>
          <w:ilvl w:val="0"/>
          <w:numId w:val="2"/>
        </w:numPr>
        <w:spacing w:after="100" w:line="240" w:lineRule="auto"/>
      </w:pPr>
      <w:r>
        <w:t>Damer</w:t>
      </w:r>
      <w:r w:rsidR="00190D68">
        <w:t xml:space="preserve"> le lit de pose</w:t>
      </w:r>
      <w:r w:rsidR="00153D2E">
        <w:t>.</w:t>
      </w:r>
    </w:p>
    <w:p w:rsidR="00D72A9A" w:rsidRDefault="00D72A9A" w:rsidP="00607D13">
      <w:pPr>
        <w:pStyle w:val="Paragraphedeliste"/>
        <w:numPr>
          <w:ilvl w:val="0"/>
          <w:numId w:val="2"/>
        </w:numPr>
        <w:spacing w:after="100" w:line="240" w:lineRule="auto"/>
      </w:pPr>
      <w:r>
        <w:t>Pose</w:t>
      </w:r>
      <w:r w:rsidR="004C23A5">
        <w:t xml:space="preserve"> et assemblage</w:t>
      </w:r>
      <w:r>
        <w:t xml:space="preserve"> des dalles</w:t>
      </w:r>
      <w:r w:rsidR="004C23A5">
        <w:t xml:space="preserve"> entre elles en quinconce</w:t>
      </w:r>
      <w:r w:rsidR="00EB3B41">
        <w:t>. Sous les dalles, il y a 18</w:t>
      </w:r>
      <w:r w:rsidR="004C23A5">
        <w:t xml:space="preserve"> ergots de </w:t>
      </w:r>
      <w:r w:rsidR="004C23A5">
        <w:rPr>
          <w:rFonts w:ascii="Arial" w:hAnsi="Arial" w:cs="Arial"/>
          <w:color w:val="545454"/>
          <w:shd w:val="clear" w:color="auto" w:fill="FFFFFF"/>
        </w:rPr>
        <w:t>±</w:t>
      </w:r>
      <w:r w:rsidR="00EB3B41">
        <w:t xml:space="preserve"> 2</w:t>
      </w:r>
      <w:r w:rsidR="004C23A5">
        <w:t xml:space="preserve"> </w:t>
      </w:r>
      <w:r w:rsidR="00EB3B41">
        <w:t>cm qui seront ancrées dans la fondation.</w:t>
      </w:r>
    </w:p>
    <w:p w:rsidR="00EB3B41" w:rsidRDefault="00860D54" w:rsidP="00607D13">
      <w:pPr>
        <w:pStyle w:val="Paragraphedeliste"/>
        <w:numPr>
          <w:ilvl w:val="0"/>
          <w:numId w:val="2"/>
        </w:numPr>
        <w:spacing w:after="100" w:line="240" w:lineRule="auto"/>
      </w:pPr>
      <w:r>
        <w:t>Prévoir un joint de dilatation de 1 à 2</w:t>
      </w:r>
      <w:r w:rsidR="00F212DE">
        <w:t xml:space="preserve"> </w:t>
      </w:r>
      <w:r>
        <w:t>cm entre les dalles Ritter et les bordures en béton</w:t>
      </w:r>
      <w:r w:rsidR="000A3820">
        <w:t xml:space="preserve"> ou autres, pavés, billes de chemin de fer etc.</w:t>
      </w:r>
      <w:r>
        <w:t xml:space="preserve"> qui les </w:t>
      </w:r>
      <w:r w:rsidR="000A3820">
        <w:t>contournent</w:t>
      </w:r>
      <w:r>
        <w:t xml:space="preserve">. </w:t>
      </w:r>
      <w:r w:rsidR="000A3820">
        <w:t xml:space="preserve">Cet espace de dilatation sera </w:t>
      </w:r>
      <w:r w:rsidR="004C23A5">
        <w:t>réalis</w:t>
      </w:r>
      <w:r w:rsidR="000A3820">
        <w:t>é au moment de la pose des dalles.</w:t>
      </w:r>
    </w:p>
    <w:p w:rsidR="000A3820" w:rsidRDefault="000A3820" w:rsidP="00607D13">
      <w:pPr>
        <w:pStyle w:val="Paragraphedeliste"/>
        <w:numPr>
          <w:ilvl w:val="0"/>
          <w:numId w:val="2"/>
        </w:numPr>
        <w:spacing w:after="100" w:line="240" w:lineRule="auto"/>
      </w:pPr>
      <w:r>
        <w:t>Après la pose des dalles gazon, mettre immédiatement le mélange terre-semences en œuvre.</w:t>
      </w:r>
    </w:p>
    <w:p w:rsidR="00E85CAD" w:rsidRDefault="009F0B51" w:rsidP="00E85CAD">
      <w:pPr>
        <w:pStyle w:val="Paragraphedeliste"/>
        <w:numPr>
          <w:ilvl w:val="0"/>
          <w:numId w:val="2"/>
        </w:numPr>
        <w:spacing w:after="100" w:line="240" w:lineRule="auto"/>
      </w:pPr>
      <w:r>
        <w:t xml:space="preserve">Remplissage jusqu’à </w:t>
      </w:r>
      <w:r w:rsidR="004C23A5">
        <w:rPr>
          <w:rFonts w:ascii="Arial" w:hAnsi="Arial" w:cs="Arial"/>
          <w:color w:val="545454"/>
          <w:shd w:val="clear" w:color="auto" w:fill="FFFFFF"/>
        </w:rPr>
        <w:t>±</w:t>
      </w:r>
      <w:r w:rsidR="000A3820">
        <w:t xml:space="preserve"> 5</w:t>
      </w:r>
      <w:r>
        <w:t xml:space="preserve"> </w:t>
      </w:r>
      <w:r w:rsidR="000A3820">
        <w:t>mm sous le bord supérieur de la dalle, avec un mélange de terre, substrat et engrais. La terre et le substrat débordant</w:t>
      </w:r>
      <w:r w:rsidR="00E85CAD">
        <w:t>s</w:t>
      </w:r>
      <w:r w:rsidR="000A3820">
        <w:t xml:space="preserve"> doivent être retirés, de manière à éviter </w:t>
      </w:r>
      <w:r w:rsidR="00E85CAD">
        <w:t>un écrasement et des traces lors d’un</w:t>
      </w:r>
      <w:r w:rsidR="000A3820">
        <w:t xml:space="preserve"> passage</w:t>
      </w:r>
      <w:r w:rsidR="00E85CAD">
        <w:t>.</w:t>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108"/>
      </w:tblGrid>
      <w:tr w:rsidR="00177809" w:rsidTr="006B269E">
        <w:tc>
          <w:tcPr>
            <w:tcW w:w="5106" w:type="dxa"/>
          </w:tcPr>
          <w:p w:rsidR="00177809" w:rsidRDefault="00177809" w:rsidP="00E85CAD">
            <w:pPr>
              <w:spacing w:after="100"/>
            </w:pPr>
            <w:r>
              <w:rPr>
                <w:noProof/>
                <w:lang w:eastAsia="fr-BE"/>
              </w:rPr>
              <w:drawing>
                <wp:anchor distT="0" distB="0" distL="114300" distR="114300" simplePos="0" relativeHeight="251660288" behindDoc="1" locked="0" layoutInCell="1" allowOverlap="1" wp14:anchorId="1EE675A3" wp14:editId="0A3B9F39">
                  <wp:simplePos x="0" y="0"/>
                  <wp:positionH relativeFrom="margin">
                    <wp:posOffset>-68580</wp:posOffset>
                  </wp:positionH>
                  <wp:positionV relativeFrom="paragraph">
                    <wp:posOffset>140970</wp:posOffset>
                  </wp:positionV>
                  <wp:extent cx="3105150" cy="2114550"/>
                  <wp:effectExtent l="0" t="0" r="0" b="0"/>
                  <wp:wrapTight wrapText="bothSides">
                    <wp:wrapPolygon edited="0">
                      <wp:start x="0" y="0"/>
                      <wp:lineTo x="0" y="21405"/>
                      <wp:lineTo x="21467" y="21405"/>
                      <wp:lineTo x="21467" y="0"/>
                      <wp:lineTo x="0" y="0"/>
                    </wp:wrapPolygon>
                  </wp:wrapTight>
                  <wp:docPr id="3" name="Image 3" descr="C:\Users\Insulco\Pictures\illustration\schéma dalle pour cahier des char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ulco\Pictures\illustration\schéma dalle pour cahier des char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8" w:type="dxa"/>
          </w:tcPr>
          <w:p w:rsidR="00177809" w:rsidRDefault="00177809" w:rsidP="00177809">
            <w:pPr>
              <w:pStyle w:val="Paragraphedeliste"/>
              <w:ind w:left="34"/>
            </w:pPr>
          </w:p>
          <w:p w:rsidR="00177809" w:rsidRPr="00E85CAD" w:rsidRDefault="00177809" w:rsidP="00177809">
            <w:pPr>
              <w:pStyle w:val="Paragraphedeliste"/>
              <w:ind w:left="34"/>
            </w:pPr>
          </w:p>
          <w:p w:rsidR="006B269E" w:rsidRDefault="00177809" w:rsidP="006B269E">
            <w:pPr>
              <w:pStyle w:val="Paragraphedeliste"/>
              <w:ind w:left="34"/>
            </w:pPr>
            <w:r>
              <w:t>Ritterdal 4,5 cm</w:t>
            </w:r>
          </w:p>
          <w:p w:rsidR="00177809" w:rsidRDefault="00177809" w:rsidP="006B269E">
            <w:pPr>
              <w:pStyle w:val="Paragraphedeliste"/>
              <w:ind w:left="34"/>
            </w:pPr>
            <w:r>
              <w:t xml:space="preserve">Lit de pose en fin gravier </w:t>
            </w:r>
            <w:r w:rsidRPr="00190D68">
              <w:t>ø2/7</w:t>
            </w:r>
            <w:r w:rsidR="006B269E">
              <w:t xml:space="preserve"> j de</w:t>
            </w:r>
            <w:r>
              <w:t xml:space="preserve"> 4 à 5 cm</w:t>
            </w:r>
          </w:p>
          <w:p w:rsidR="00177809" w:rsidRPr="00E85CAD" w:rsidRDefault="00177809" w:rsidP="00177809">
            <w:pPr>
              <w:pStyle w:val="Paragraphedeliste"/>
              <w:ind w:left="34"/>
            </w:pPr>
            <w:r>
              <w:t>Géotextile non-tissé</w:t>
            </w:r>
          </w:p>
          <w:p w:rsidR="00177809" w:rsidRDefault="00177809" w:rsidP="00177809">
            <w:pPr>
              <w:pStyle w:val="Paragraphedeliste"/>
              <w:ind w:left="34"/>
            </w:pPr>
          </w:p>
          <w:p w:rsidR="00177809" w:rsidRDefault="00177809" w:rsidP="00177809">
            <w:pPr>
              <w:pStyle w:val="Paragraphedeliste"/>
              <w:ind w:left="34"/>
            </w:pPr>
            <w:r>
              <w:t>Lit porteur en concassé ø10/32</w:t>
            </w:r>
          </w:p>
          <w:p w:rsidR="00177809" w:rsidRDefault="00177809" w:rsidP="00177809">
            <w:pPr>
              <w:pStyle w:val="Paragraphedeliste"/>
              <w:ind w:left="34"/>
            </w:pPr>
          </w:p>
          <w:p w:rsidR="00B00078" w:rsidRDefault="00B00078" w:rsidP="00177809">
            <w:pPr>
              <w:pStyle w:val="Paragraphedeliste"/>
              <w:ind w:left="34"/>
            </w:pPr>
          </w:p>
          <w:p w:rsidR="00177809" w:rsidRDefault="00177809" w:rsidP="00177809">
            <w:pPr>
              <w:pStyle w:val="Paragraphedeliste"/>
              <w:ind w:left="34"/>
            </w:pPr>
            <w:r>
              <w:t>Géotextile non-tissé</w:t>
            </w:r>
          </w:p>
          <w:p w:rsidR="00177809" w:rsidRDefault="00177809" w:rsidP="00177809">
            <w:r>
              <w:t xml:space="preserve"> Sous-sol</w:t>
            </w:r>
          </w:p>
          <w:p w:rsidR="00177809" w:rsidRDefault="00177809" w:rsidP="00177809">
            <w:pPr>
              <w:pStyle w:val="Paragraphedeliste"/>
              <w:ind w:left="34"/>
            </w:pPr>
          </w:p>
          <w:p w:rsidR="00177809" w:rsidRDefault="00177809" w:rsidP="00177809">
            <w:pPr>
              <w:pStyle w:val="Paragraphedeliste"/>
              <w:ind w:left="34"/>
            </w:pPr>
          </w:p>
          <w:p w:rsidR="00177809" w:rsidRDefault="00177809" w:rsidP="00177809">
            <w:pPr>
              <w:pStyle w:val="Paragraphedeliste"/>
              <w:ind w:left="34"/>
            </w:pPr>
          </w:p>
          <w:p w:rsidR="00177809" w:rsidRDefault="00177809" w:rsidP="00177809">
            <w:pPr>
              <w:pStyle w:val="Paragraphedeliste"/>
              <w:ind w:left="34"/>
            </w:pPr>
          </w:p>
          <w:p w:rsidR="00177809" w:rsidRDefault="00177809" w:rsidP="00177809">
            <w:pPr>
              <w:pStyle w:val="Paragraphedeliste"/>
              <w:ind w:left="34"/>
            </w:pPr>
          </w:p>
          <w:p w:rsidR="00177809" w:rsidRDefault="00177809" w:rsidP="00177809">
            <w:pPr>
              <w:pStyle w:val="Paragraphedeliste"/>
              <w:ind w:left="34"/>
            </w:pPr>
          </w:p>
          <w:p w:rsidR="00177809" w:rsidRPr="00177809" w:rsidRDefault="00177809" w:rsidP="00177809"/>
        </w:tc>
      </w:tr>
    </w:tbl>
    <w:p w:rsidR="00E85CAD" w:rsidRPr="00190D68" w:rsidRDefault="00E85CAD" w:rsidP="00E85CAD">
      <w:pPr>
        <w:spacing w:after="100" w:line="240" w:lineRule="auto"/>
      </w:pPr>
    </w:p>
    <w:p w:rsidR="00177809" w:rsidRPr="00177809" w:rsidRDefault="00177809" w:rsidP="00177809">
      <w:pPr>
        <w:pStyle w:val="Paragraphedeliste"/>
      </w:pPr>
    </w:p>
    <w:p w:rsidR="00F95D99" w:rsidRDefault="00E85CAD" w:rsidP="00E85CAD">
      <w:pPr>
        <w:rPr>
          <w:color w:val="FF0000"/>
        </w:rPr>
      </w:pPr>
      <w:r w:rsidRPr="00E85CAD">
        <w:rPr>
          <w:color w:val="FF0000"/>
        </w:rPr>
        <w:t>Note supplémentaire :</w:t>
      </w:r>
    </w:p>
    <w:p w:rsidR="00A5658B" w:rsidRDefault="00E85CAD" w:rsidP="00E85CAD">
      <w:r>
        <w:t xml:space="preserve">Les </w:t>
      </w:r>
      <w:r w:rsidR="00807354">
        <w:t>contours en bordures ou revêtements adjacents</w:t>
      </w:r>
      <w:r>
        <w:t xml:space="preserve"> sont posés un cm</w:t>
      </w:r>
      <w:r w:rsidR="003571AD">
        <w:t xml:space="preserve"> plus haut que les</w:t>
      </w:r>
      <w:r>
        <w:t xml:space="preserve"> dalles gazon, afin d’</w:t>
      </w:r>
      <w:r w:rsidR="0028586E">
        <w:t xml:space="preserve">éviter les chocs </w:t>
      </w:r>
      <w:r w:rsidR="003571AD">
        <w:t xml:space="preserve">latéraux de pneus contre le coté </w:t>
      </w:r>
      <w:r w:rsidR="00F97D30">
        <w:t>des dalles</w:t>
      </w:r>
      <w:r w:rsidR="00722417">
        <w:t xml:space="preserve">. </w:t>
      </w:r>
      <w:r w:rsidR="003571AD">
        <w:t>De cette manière, seul</w:t>
      </w:r>
      <w:r w:rsidR="00161B0D">
        <w:t>e</w:t>
      </w:r>
      <w:r w:rsidR="003571AD">
        <w:t xml:space="preserve"> la surface supérieure des dalles sera </w:t>
      </w:r>
      <w:r w:rsidR="00161B0D">
        <w:t>sollicitée par les passages.</w:t>
      </w:r>
    </w:p>
    <w:p w:rsidR="00B00078" w:rsidRDefault="00B00078" w:rsidP="00E85CAD">
      <w:pPr>
        <w:rPr>
          <w:b/>
          <w:u w:val="single"/>
        </w:rPr>
      </w:pPr>
    </w:p>
    <w:p w:rsidR="00A5658B" w:rsidRDefault="00A5658B" w:rsidP="00E85CAD">
      <w:pPr>
        <w:rPr>
          <w:b/>
          <w:u w:val="single"/>
        </w:rPr>
      </w:pPr>
      <w:r w:rsidRPr="00A5658B">
        <w:rPr>
          <w:b/>
          <w:u w:val="single"/>
        </w:rPr>
        <w:lastRenderedPageBreak/>
        <w:t>Plots de marquage</w:t>
      </w:r>
    </w:p>
    <w:p w:rsidR="004C23A5" w:rsidRDefault="00A5658B" w:rsidP="00E85CAD">
      <w:r>
        <w:t xml:space="preserve">Là où c’est nécessaire, il est possible de fournir des plots pour délimiter des places de parking ou accès de pompiers. Le nombre de plots et la disposition de ces derniers sont définis </w:t>
      </w:r>
      <w:r w:rsidR="004C23A5">
        <w:t xml:space="preserve">en accord avec </w:t>
      </w:r>
      <w:r>
        <w:t xml:space="preserve">l’architecte et le chef de projet. </w:t>
      </w:r>
      <w:r w:rsidR="004C23A5">
        <w:t>Note : Les plots doivent être placés avant remplissage des dalles.</w:t>
      </w:r>
    </w:p>
    <w:p w:rsidR="004C23A5" w:rsidRDefault="004C23A5" w:rsidP="00E85CAD"/>
    <w:p w:rsidR="00161B0D" w:rsidRDefault="00161B0D" w:rsidP="00E85CAD">
      <w:pPr>
        <w:rPr>
          <w:b/>
          <w:u w:val="single"/>
        </w:rPr>
      </w:pPr>
      <w:r>
        <w:rPr>
          <w:b/>
          <w:u w:val="single"/>
        </w:rPr>
        <w:t>Semences – Matériel</w:t>
      </w:r>
    </w:p>
    <w:p w:rsidR="00161B0D" w:rsidRDefault="00161B0D" w:rsidP="00E85CAD">
      <w:r>
        <w:t>Les types de semences sont mélangés chez leur fournisseur. À chaque livraison de semences, il y a un certificat de contenu fourni. L’assortiment pour le gazon est effectué à partir d’un mélange</w:t>
      </w:r>
      <w:r w:rsidR="00393DE5">
        <w:t xml:space="preserve"> pour une application sport ou de parking.</w:t>
      </w:r>
    </w:p>
    <w:p w:rsidR="00393DE5" w:rsidRDefault="00393DE5" w:rsidP="00E85CAD">
      <w:r>
        <w:t xml:space="preserve">Exemple : </w:t>
      </w:r>
    </w:p>
    <w:p w:rsidR="00393DE5" w:rsidRDefault="003837D6" w:rsidP="00393DE5">
      <w:pPr>
        <w:pStyle w:val="Paragraphedeliste"/>
        <w:numPr>
          <w:ilvl w:val="0"/>
          <w:numId w:val="3"/>
        </w:numPr>
        <w:spacing w:after="200" w:line="276" w:lineRule="auto"/>
        <w:rPr>
          <w:lang w:val="nl-BE"/>
        </w:rPr>
      </w:pPr>
      <w:r>
        <w:rPr>
          <w:lang w:val="nl-BE"/>
        </w:rPr>
        <w:t>Koeleria macrantha enveloppé</w:t>
      </w:r>
      <w:r w:rsidR="00393DE5">
        <w:rPr>
          <w:lang w:val="nl-BE"/>
        </w:rPr>
        <w:t xml:space="preserve"> 40%</w:t>
      </w:r>
    </w:p>
    <w:p w:rsidR="00393DE5" w:rsidRDefault="00393DE5" w:rsidP="00393DE5">
      <w:pPr>
        <w:pStyle w:val="Paragraphedeliste"/>
        <w:numPr>
          <w:ilvl w:val="0"/>
          <w:numId w:val="3"/>
        </w:numPr>
        <w:spacing w:after="200" w:line="276" w:lineRule="auto"/>
        <w:rPr>
          <w:lang w:val="nl-BE"/>
        </w:rPr>
      </w:pPr>
      <w:r>
        <w:rPr>
          <w:lang w:val="nl-BE"/>
        </w:rPr>
        <w:t>Festuca rubra trichophilia 15%</w:t>
      </w:r>
    </w:p>
    <w:p w:rsidR="00393DE5" w:rsidRDefault="00393DE5" w:rsidP="00393DE5">
      <w:pPr>
        <w:pStyle w:val="Paragraphedeliste"/>
        <w:numPr>
          <w:ilvl w:val="0"/>
          <w:numId w:val="3"/>
        </w:numPr>
        <w:spacing w:after="200" w:line="276" w:lineRule="auto"/>
        <w:rPr>
          <w:lang w:val="nl-BE"/>
        </w:rPr>
      </w:pPr>
      <w:r>
        <w:rPr>
          <w:lang w:val="nl-BE"/>
        </w:rPr>
        <w:t>Festuca rubra commutata 15%</w:t>
      </w:r>
    </w:p>
    <w:p w:rsidR="00393DE5" w:rsidRDefault="00393DE5" w:rsidP="00393DE5">
      <w:pPr>
        <w:pStyle w:val="Paragraphedeliste"/>
        <w:numPr>
          <w:ilvl w:val="0"/>
          <w:numId w:val="3"/>
        </w:numPr>
        <w:spacing w:after="200" w:line="276" w:lineRule="auto"/>
        <w:rPr>
          <w:lang w:val="nl-BE"/>
        </w:rPr>
      </w:pPr>
      <w:r>
        <w:rPr>
          <w:lang w:val="nl-BE"/>
        </w:rPr>
        <w:t>Poa pratensis 20%</w:t>
      </w:r>
    </w:p>
    <w:p w:rsidR="00393DE5" w:rsidRDefault="00393DE5" w:rsidP="00393DE5">
      <w:pPr>
        <w:pStyle w:val="Paragraphedeliste"/>
        <w:numPr>
          <w:ilvl w:val="0"/>
          <w:numId w:val="3"/>
        </w:numPr>
        <w:spacing w:after="200" w:line="276" w:lineRule="auto"/>
        <w:rPr>
          <w:lang w:val="nl-BE"/>
        </w:rPr>
      </w:pPr>
      <w:r>
        <w:rPr>
          <w:lang w:val="nl-BE"/>
        </w:rPr>
        <w:t>Lolium perenne 10%</w:t>
      </w:r>
    </w:p>
    <w:p w:rsidR="00393DE5" w:rsidRDefault="00F82DF9" w:rsidP="00E85CAD">
      <w:pPr>
        <w:rPr>
          <w:b/>
          <w:u w:val="single"/>
        </w:rPr>
      </w:pPr>
      <w:r>
        <w:rPr>
          <w:b/>
          <w:u w:val="single"/>
        </w:rPr>
        <w:t>Travaux de terrassement et remplissage</w:t>
      </w:r>
    </w:p>
    <w:p w:rsidR="00666DFB" w:rsidRDefault="00112EBF" w:rsidP="00E85CAD">
      <w:r>
        <w:t>Le terrassement ne sera pas réalisé</w:t>
      </w:r>
      <w:r w:rsidR="003F0863">
        <w:t xml:space="preserve"> pendant des intempéries ou par temps de gel. Après le remplissage du mélange de terre, substrat, engrais et semences</w:t>
      </w:r>
      <w:r w:rsidR="0044750A">
        <w:t>,</w:t>
      </w:r>
      <w:r>
        <w:t xml:space="preserve"> il faudra</w:t>
      </w:r>
      <w:r w:rsidR="00CE7487">
        <w:t xml:space="preserve"> aussi</w:t>
      </w:r>
      <w:r w:rsidR="00AA7A26">
        <w:t xml:space="preserve"> éviter de passer sur la surface engazonnée, de manière à ne pas y</w:t>
      </w:r>
      <w:r w:rsidR="00CE7487">
        <w:t xml:space="preserve"> laisser</w:t>
      </w:r>
      <w:r w:rsidR="00AA7A26">
        <w:t xml:space="preserve"> de traces de passage ou de l’endommager. </w:t>
      </w:r>
      <w:r w:rsidR="00B51093">
        <w:t>Les travaux pour la délimitation</w:t>
      </w:r>
      <w:r w:rsidR="00EA5A74">
        <w:t xml:space="preserve"> sont </w:t>
      </w:r>
      <w:r>
        <w:t>systématiquement</w:t>
      </w:r>
      <w:r w:rsidR="00EA5A74">
        <w:t xml:space="preserve"> repris da</w:t>
      </w:r>
      <w:r>
        <w:t>ns le poste coût</w:t>
      </w:r>
      <w:r w:rsidR="002F373A">
        <w:t xml:space="preserve"> pour l’</w:t>
      </w:r>
      <w:r>
        <w:t xml:space="preserve">aménagement </w:t>
      </w:r>
      <w:r w:rsidR="00EA5A74">
        <w:t>et l’entretien du site</w:t>
      </w:r>
      <w:r w:rsidR="002F373A">
        <w:t xml:space="preserve"> affecté. Le remplissage ainsi que l’entretien des dalles gazon</w:t>
      </w:r>
      <w:r w:rsidR="00F212DE" w:rsidRPr="00F212DE">
        <w:t xml:space="preserve"> </w:t>
      </w:r>
      <w:r w:rsidR="00F212DE">
        <w:t>jusqu’à remise du chantier,</w:t>
      </w:r>
      <w:r>
        <w:t xml:space="preserve"> d</w:t>
      </w:r>
      <w:r w:rsidR="0044750A">
        <w:t>écris dans le poste «</w:t>
      </w:r>
      <w:r>
        <w:t> Entretien après remplissage »</w:t>
      </w:r>
      <w:r w:rsidR="00F212DE">
        <w:t>,</w:t>
      </w:r>
      <w:r>
        <w:t xml:space="preserve"> </w:t>
      </w:r>
      <w:r w:rsidR="0044750A">
        <w:t>sont inclus dans le prix unitaire</w:t>
      </w:r>
      <w:r>
        <w:t>.</w:t>
      </w:r>
    </w:p>
    <w:p w:rsidR="0044750A" w:rsidRDefault="002F6481" w:rsidP="00E85CAD">
      <w:pPr>
        <w:rPr>
          <w:b/>
          <w:u w:val="single"/>
        </w:rPr>
      </w:pPr>
      <w:r w:rsidRPr="00A4166E">
        <w:rPr>
          <w:b/>
          <w:u w:val="single"/>
        </w:rPr>
        <w:t xml:space="preserve">Travaux </w:t>
      </w:r>
      <w:r w:rsidR="00A4166E" w:rsidRPr="00A4166E">
        <w:rPr>
          <w:b/>
          <w:u w:val="single"/>
        </w:rPr>
        <w:t>d’ensemencement</w:t>
      </w:r>
    </w:p>
    <w:p w:rsidR="00A4166E" w:rsidRDefault="00A4166E" w:rsidP="00E85CAD">
      <w:r w:rsidRPr="00A4166E">
        <w:t xml:space="preserve">La mise en </w:t>
      </w:r>
      <w:r w:rsidR="005B1262">
        <w:t>œuvre du remplissage en</w:t>
      </w:r>
      <w:r w:rsidR="00E3456E">
        <w:t xml:space="preserve"> gazon n’est pas </w:t>
      </w:r>
      <w:r w:rsidR="005B1262">
        <w:t>autorisée</w:t>
      </w:r>
      <w:r w:rsidR="00E3456E">
        <w:t xml:space="preserve"> quand il </w:t>
      </w:r>
      <w:r w:rsidR="005B1262">
        <w:t>gèle</w:t>
      </w:r>
      <w:r w:rsidR="004C25A9">
        <w:t xml:space="preserve">, </w:t>
      </w:r>
      <w:r w:rsidR="00E3456E">
        <w:t>quand le sol est gelé ou</w:t>
      </w:r>
      <w:r w:rsidR="004C25A9">
        <w:t xml:space="preserve"> s’il</w:t>
      </w:r>
      <w:r w:rsidR="00E3456E">
        <w:t xml:space="preserve"> ne permet pas </w:t>
      </w:r>
      <w:r w:rsidR="005B1262">
        <w:t>d’être travaillé</w:t>
      </w:r>
      <w:r w:rsidR="004C25A9">
        <w:t xml:space="preserve"> normalement</w:t>
      </w:r>
      <w:r w:rsidR="005B1262">
        <w:t xml:space="preserve">. </w:t>
      </w:r>
      <w:r w:rsidR="004C25A9">
        <w:t xml:space="preserve">L’entrepreneur </w:t>
      </w:r>
      <w:r w:rsidR="005B1262">
        <w:t xml:space="preserve">démarrera les travaux </w:t>
      </w:r>
      <w:r w:rsidR="00F212DE">
        <w:t xml:space="preserve">après </w:t>
      </w:r>
      <w:r w:rsidR="005B1262">
        <w:t>l’approbation</w:t>
      </w:r>
      <w:r w:rsidR="00E53977">
        <w:t xml:space="preserve"> de </w:t>
      </w:r>
      <w:r w:rsidR="004C25A9">
        <w:t>l’architecte.</w:t>
      </w:r>
    </w:p>
    <w:p w:rsidR="00E53977" w:rsidRDefault="00E53977" w:rsidP="00E85CAD">
      <w:r>
        <w:t xml:space="preserve">Tous les travaux pour le remplissage des dalles doivent être </w:t>
      </w:r>
      <w:r w:rsidR="00F618ED">
        <w:t>réalisés</w:t>
      </w:r>
      <w:r>
        <w:t xml:space="preserve"> le plus vite possible les uns après les autres.</w:t>
      </w:r>
    </w:p>
    <w:p w:rsidR="00F618ED" w:rsidRPr="00F618ED" w:rsidRDefault="00F618ED" w:rsidP="00E85CAD">
      <w:pPr>
        <w:rPr>
          <w:b/>
          <w:u w:val="single"/>
        </w:rPr>
      </w:pPr>
      <w:r w:rsidRPr="00F618ED">
        <w:rPr>
          <w:b/>
          <w:u w:val="single"/>
        </w:rPr>
        <w:t>Entretien après remplissage</w:t>
      </w:r>
    </w:p>
    <w:p w:rsidR="00A4166E" w:rsidRDefault="00F618ED" w:rsidP="00E85CAD">
      <w:r w:rsidRPr="00F618ED">
        <w:t>L’entretien comprend :</w:t>
      </w:r>
    </w:p>
    <w:p w:rsidR="00F618ED" w:rsidRDefault="00F618ED" w:rsidP="00F618ED">
      <w:pPr>
        <w:pStyle w:val="Paragraphedeliste"/>
        <w:numPr>
          <w:ilvl w:val="0"/>
          <w:numId w:val="3"/>
        </w:numPr>
      </w:pPr>
      <w:r>
        <w:t>Les deux premières tontes</w:t>
      </w:r>
    </w:p>
    <w:p w:rsidR="00F618ED" w:rsidRDefault="00F618ED" w:rsidP="00F618ED">
      <w:pPr>
        <w:pStyle w:val="Paragraphedeliste"/>
        <w:numPr>
          <w:ilvl w:val="0"/>
          <w:numId w:val="3"/>
        </w:numPr>
      </w:pPr>
      <w:r>
        <w:t>La suppression des mauvaises herbes</w:t>
      </w:r>
    </w:p>
    <w:p w:rsidR="00F618ED" w:rsidRDefault="00F618ED" w:rsidP="00F618ED">
      <w:pPr>
        <w:pStyle w:val="Paragraphedeliste"/>
        <w:numPr>
          <w:ilvl w:val="0"/>
          <w:numId w:val="3"/>
        </w:numPr>
      </w:pPr>
      <w:r>
        <w:t>Le réensemencement avec le même mélange sur les zones nues éventuelles ou aux endroits ayant eu des mauvaises herbes dans le gazon.</w:t>
      </w:r>
    </w:p>
    <w:p w:rsidR="00F618ED" w:rsidRDefault="00F618ED" w:rsidP="00F618ED">
      <w:r>
        <w:t>Après le deuxième ensemencement, la surface engazonnée doit être traitée avec un herbicide sélectif. L’architecte</w:t>
      </w:r>
      <w:r w:rsidR="009D64F7">
        <w:t xml:space="preserve"> ou l</w:t>
      </w:r>
      <w:r w:rsidR="005B1262">
        <w:t>e chef de projet</w:t>
      </w:r>
      <w:r w:rsidR="00B90263">
        <w:t xml:space="preserve"> devra</w:t>
      </w:r>
      <w:r w:rsidR="009D64F7">
        <w:t xml:space="preserve"> </w:t>
      </w:r>
      <w:r w:rsidR="00AE33D0">
        <w:t>agréer, avant sa mise œuvre,</w:t>
      </w:r>
      <w:r w:rsidR="009D64F7">
        <w:t xml:space="preserve"> </w:t>
      </w:r>
      <w:r w:rsidR="005B1262">
        <w:t>le</w:t>
      </w:r>
      <w:r w:rsidR="00B90263">
        <w:t xml:space="preserve"> type d’</w:t>
      </w:r>
      <w:r>
        <w:t>herbicide</w:t>
      </w:r>
      <w:r w:rsidR="00B90263">
        <w:t xml:space="preserve"> à utiliser en fonction </w:t>
      </w:r>
      <w:r w:rsidR="00AE33D0">
        <w:t>de l’application et des quantités nécessaires à la s</w:t>
      </w:r>
      <w:r w:rsidR="005B1262">
        <w:t>uppression des mauvaises herbes les plus courantes.</w:t>
      </w:r>
    </w:p>
    <w:p w:rsidR="00AE33D0" w:rsidRDefault="00AE33D0" w:rsidP="00F618ED"/>
    <w:p w:rsidR="00AE33D0" w:rsidRDefault="00AE33D0" w:rsidP="00F618ED"/>
    <w:p w:rsidR="00AE33D0" w:rsidRDefault="00AE33D0" w:rsidP="00F618ED"/>
    <w:p w:rsidR="00AE33D0" w:rsidRDefault="00AE33D0" w:rsidP="00F618ED"/>
    <w:p w:rsidR="00AE33D0" w:rsidRDefault="00AE33D0" w:rsidP="00F618ED"/>
    <w:p w:rsidR="00AE33D0" w:rsidRPr="00AE33D0" w:rsidRDefault="00AE33D0" w:rsidP="00F618ED">
      <w:pPr>
        <w:rPr>
          <w:b/>
          <w:u w:val="single"/>
        </w:rPr>
      </w:pPr>
      <w:r w:rsidRPr="00AE33D0">
        <w:rPr>
          <w:b/>
          <w:u w:val="single"/>
        </w:rPr>
        <w:t>Indications d’entretien supplémentaires</w:t>
      </w:r>
    </w:p>
    <w:p w:rsidR="00C3206D" w:rsidRDefault="00AE33D0" w:rsidP="00F618ED">
      <w:r>
        <w:t>L’entrepreneur prend, après la mise en œuvre de la pelouse</w:t>
      </w:r>
      <w:r w:rsidR="00C3206D">
        <w:t>, toutes les mesures possible pour assurer la pousse régulièr</w:t>
      </w:r>
      <w:r w:rsidR="005B1262">
        <w:t xml:space="preserve">e du gazon et de ses racines. </w:t>
      </w:r>
      <w:r w:rsidR="00C3206D">
        <w:t>Ceci peut comprendre l’arrosage durant les périodes sèches.</w:t>
      </w:r>
    </w:p>
    <w:p w:rsidR="00C3206D" w:rsidRDefault="00C3206D" w:rsidP="00F618ED">
      <w:r>
        <w:t>L’herbe sera tondu</w:t>
      </w:r>
      <w:r w:rsidR="00F90064">
        <w:t>e</w:t>
      </w:r>
      <w:r>
        <w:t xml:space="preserve"> les deux premières fois jusqu’</w:t>
      </w:r>
      <w:r w:rsidR="00F212DE">
        <w:t xml:space="preserve">à </w:t>
      </w:r>
      <w:r>
        <w:t>une hauteur de 4</w:t>
      </w:r>
      <w:r w:rsidR="005B1262">
        <w:t xml:space="preserve"> </w:t>
      </w:r>
      <w:r>
        <w:t>cm, chaque fois que sa hauteur aura atteinte minimum 10</w:t>
      </w:r>
      <w:r w:rsidR="005B1262">
        <w:t xml:space="preserve"> </w:t>
      </w:r>
      <w:r>
        <w:t xml:space="preserve">cm </w:t>
      </w:r>
      <w:r w:rsidR="005B1262">
        <w:t>et maximum</w:t>
      </w:r>
      <w:r>
        <w:t xml:space="preserve"> 15</w:t>
      </w:r>
      <w:r w:rsidR="005B1262">
        <w:t xml:space="preserve"> </w:t>
      </w:r>
      <w:r>
        <w:t xml:space="preserve">cm. La tonte </w:t>
      </w:r>
      <w:r w:rsidR="005B1262">
        <w:t xml:space="preserve">est réalisée </w:t>
      </w:r>
      <w:r>
        <w:t>avec une tondeuse qui n’arrache pas le</w:t>
      </w:r>
      <w:r w:rsidR="005B1262">
        <w:t>s jeunes plantes. L’herbe de tonte</w:t>
      </w:r>
      <w:r>
        <w:t xml:space="preserve"> devra être immédiatement retirée du terrain.</w:t>
      </w:r>
    </w:p>
    <w:p w:rsidR="00C3206D" w:rsidRDefault="00EB0DA1" w:rsidP="00F618ED">
      <w:pPr>
        <w:rPr>
          <w:b/>
          <w:u w:val="single"/>
        </w:rPr>
      </w:pPr>
      <w:r w:rsidRPr="00EB0DA1">
        <w:rPr>
          <w:b/>
          <w:u w:val="single"/>
        </w:rPr>
        <w:t>Le revêtement en dalles PE</w:t>
      </w:r>
      <w:r w:rsidR="005B1262">
        <w:rPr>
          <w:b/>
          <w:u w:val="single"/>
        </w:rPr>
        <w:t>-</w:t>
      </w:r>
      <w:r w:rsidRPr="00EB0DA1">
        <w:rPr>
          <w:b/>
          <w:u w:val="single"/>
        </w:rPr>
        <w:t>HD</w:t>
      </w:r>
    </w:p>
    <w:p w:rsidR="00EB0DA1" w:rsidRDefault="005B1262" w:rsidP="00EB0DA1">
      <w:pPr>
        <w:pStyle w:val="Paragraphedeliste"/>
        <w:numPr>
          <w:ilvl w:val="0"/>
          <w:numId w:val="3"/>
        </w:numPr>
      </w:pPr>
      <w:r>
        <w:t>Est plat</w:t>
      </w:r>
      <w:r w:rsidR="00EB0DA1">
        <w:t xml:space="preserve"> et ne montre pas de </w:t>
      </w:r>
      <w:r w:rsidR="00232200">
        <w:t xml:space="preserve">différence </w:t>
      </w:r>
      <w:r>
        <w:t>de hauteur</w:t>
      </w:r>
      <w:r w:rsidR="00F212DE">
        <w:t xml:space="preserve"> visible à l’œil nu</w:t>
      </w:r>
      <w:r w:rsidR="00EB0DA1">
        <w:t>.</w:t>
      </w:r>
    </w:p>
    <w:p w:rsidR="00232200" w:rsidRDefault="005B1262" w:rsidP="00EB0DA1">
      <w:pPr>
        <w:pStyle w:val="Paragraphedeliste"/>
        <w:numPr>
          <w:ilvl w:val="0"/>
          <w:numId w:val="3"/>
        </w:numPr>
      </w:pPr>
      <w:r>
        <w:t>Présentera</w:t>
      </w:r>
      <w:r w:rsidR="00DC2E30">
        <w:t xml:space="preserve"> 30 jours calendrier après l’ensemencement une pousse normale et régulière</w:t>
      </w:r>
      <w:r>
        <w:t>. C</w:t>
      </w:r>
      <w:r w:rsidR="000A2AA8">
        <w:t xml:space="preserve">ela veut dire que </w:t>
      </w:r>
      <w:r>
        <w:t xml:space="preserve">le semis sera </w:t>
      </w:r>
      <w:r w:rsidR="000A2AA8">
        <w:t xml:space="preserve">identiquement </w:t>
      </w:r>
      <w:r>
        <w:t xml:space="preserve">réparti </w:t>
      </w:r>
      <w:r w:rsidR="000A2AA8">
        <w:t xml:space="preserve">sur toute la surface et </w:t>
      </w:r>
      <w:r>
        <w:t>forme</w:t>
      </w:r>
      <w:r w:rsidR="00F212DE">
        <w:t>ra</w:t>
      </w:r>
      <w:r>
        <w:t xml:space="preserve"> un tapis régulier.</w:t>
      </w:r>
    </w:p>
    <w:p w:rsidR="000A2AA8" w:rsidRDefault="000A2AA8" w:rsidP="00EB0DA1">
      <w:pPr>
        <w:pStyle w:val="Paragraphedeliste"/>
        <w:numPr>
          <w:ilvl w:val="0"/>
          <w:numId w:val="3"/>
        </w:numPr>
      </w:pPr>
      <w:r>
        <w:t>Présente une</w:t>
      </w:r>
      <w:r w:rsidR="005B1262">
        <w:t xml:space="preserve"> pousse</w:t>
      </w:r>
      <w:r w:rsidR="0047799C">
        <w:t xml:space="preserve"> serrée et </w:t>
      </w:r>
      <w:r w:rsidR="00336BA2">
        <w:t xml:space="preserve">fermée </w:t>
      </w:r>
      <w:r w:rsidR="00365143">
        <w:t xml:space="preserve">lors de la livraison du chantier et </w:t>
      </w:r>
      <w:r w:rsidR="005D1791">
        <w:t xml:space="preserve">de </w:t>
      </w:r>
      <w:r w:rsidR="00365143">
        <w:t>l’enlèvement</w:t>
      </w:r>
      <w:r w:rsidR="005D1791">
        <w:t xml:space="preserve"> des délimitations protégeant les jeunes pousses</w:t>
      </w:r>
      <w:r w:rsidR="00365143">
        <w:t xml:space="preserve">. L’enlèvement des délimitations </w:t>
      </w:r>
      <w:r w:rsidR="00336BA2">
        <w:t>autour de la surface engazonnée est co</w:t>
      </w:r>
      <w:r w:rsidR="00365143">
        <w:t>mpris dans le poste des coûts de mise en œuvre</w:t>
      </w:r>
      <w:r w:rsidR="00336BA2">
        <w:t>.</w:t>
      </w:r>
    </w:p>
    <w:p w:rsidR="00336BA2" w:rsidRPr="00EB0DA1" w:rsidRDefault="00365143" w:rsidP="00EB0DA1">
      <w:pPr>
        <w:pStyle w:val="Paragraphedeliste"/>
        <w:numPr>
          <w:ilvl w:val="0"/>
          <w:numId w:val="3"/>
        </w:numPr>
      </w:pPr>
      <w:r>
        <w:t>Le contrôle</w:t>
      </w:r>
      <w:r w:rsidR="00336BA2">
        <w:t xml:space="preserve"> </w:t>
      </w:r>
      <w:r w:rsidR="00FC6595">
        <w:t>du rendu</w:t>
      </w:r>
      <w:r w:rsidR="00336BA2">
        <w:t xml:space="preserve"> </w:t>
      </w:r>
      <w:r w:rsidR="00FC6595">
        <w:t xml:space="preserve">final par l’architecte, </w:t>
      </w:r>
      <w:r>
        <w:t>permettra de vérifier la conformité avec les caractéristiques et prescriptions du fabricant. Cela sous-entend l’obtention d’</w:t>
      </w:r>
      <w:r w:rsidR="00FC6595">
        <w:t>une surface propre</w:t>
      </w:r>
      <w:r>
        <w:t>, solide et esthétique.</w:t>
      </w:r>
    </w:p>
    <w:p w:rsidR="00C3206D" w:rsidRDefault="00C3206D" w:rsidP="00F618ED"/>
    <w:p w:rsidR="00AE33D0" w:rsidRPr="00F618ED" w:rsidRDefault="00AE33D0" w:rsidP="00F618ED"/>
    <w:p w:rsidR="00A4166E" w:rsidRPr="00A4166E" w:rsidRDefault="00A4166E" w:rsidP="00E85CAD">
      <w:pPr>
        <w:rPr>
          <w:b/>
          <w:u w:val="single"/>
        </w:rPr>
      </w:pPr>
    </w:p>
    <w:sectPr w:rsidR="00A4166E" w:rsidRPr="00A416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A8" w:rsidRDefault="003C21A8" w:rsidP="00282D1A">
      <w:pPr>
        <w:spacing w:after="0" w:line="240" w:lineRule="auto"/>
      </w:pPr>
      <w:r>
        <w:separator/>
      </w:r>
    </w:p>
  </w:endnote>
  <w:endnote w:type="continuationSeparator" w:id="0">
    <w:p w:rsidR="003C21A8" w:rsidRDefault="003C21A8" w:rsidP="0028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A8" w:rsidRDefault="003C21A8" w:rsidP="00282D1A">
      <w:pPr>
        <w:spacing w:after="0" w:line="240" w:lineRule="auto"/>
      </w:pPr>
      <w:r>
        <w:separator/>
      </w:r>
    </w:p>
  </w:footnote>
  <w:footnote w:type="continuationSeparator" w:id="0">
    <w:p w:rsidR="003C21A8" w:rsidRDefault="003C21A8" w:rsidP="0028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97766"/>
    <w:multiLevelType w:val="hybridMultilevel"/>
    <w:tmpl w:val="5000A9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10E7031"/>
    <w:multiLevelType w:val="hybridMultilevel"/>
    <w:tmpl w:val="68469EBE"/>
    <w:lvl w:ilvl="0" w:tplc="8E3E88A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A0179F1"/>
    <w:multiLevelType w:val="hybridMultilevel"/>
    <w:tmpl w:val="4036AE52"/>
    <w:lvl w:ilvl="0" w:tplc="FD681D9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BD"/>
    <w:rsid w:val="00030F9F"/>
    <w:rsid w:val="00041E74"/>
    <w:rsid w:val="000A2AA8"/>
    <w:rsid w:val="000A3820"/>
    <w:rsid w:val="000F329B"/>
    <w:rsid w:val="00112EBF"/>
    <w:rsid w:val="00141D9C"/>
    <w:rsid w:val="00153D2E"/>
    <w:rsid w:val="00161B0D"/>
    <w:rsid w:val="00177809"/>
    <w:rsid w:val="00190D68"/>
    <w:rsid w:val="001939B4"/>
    <w:rsid w:val="00232200"/>
    <w:rsid w:val="002413BD"/>
    <w:rsid w:val="00244CC8"/>
    <w:rsid w:val="00262051"/>
    <w:rsid w:val="00275925"/>
    <w:rsid w:val="00277D44"/>
    <w:rsid w:val="00282D1A"/>
    <w:rsid w:val="0028586E"/>
    <w:rsid w:val="002F373A"/>
    <w:rsid w:val="002F6481"/>
    <w:rsid w:val="00336BA2"/>
    <w:rsid w:val="003571AD"/>
    <w:rsid w:val="00365143"/>
    <w:rsid w:val="003837D6"/>
    <w:rsid w:val="00393DE5"/>
    <w:rsid w:val="003C21A8"/>
    <w:rsid w:val="003F0863"/>
    <w:rsid w:val="0044750A"/>
    <w:rsid w:val="0047799C"/>
    <w:rsid w:val="004C23A5"/>
    <w:rsid w:val="004C25A9"/>
    <w:rsid w:val="005A34A3"/>
    <w:rsid w:val="005B1262"/>
    <w:rsid w:val="005D1791"/>
    <w:rsid w:val="005D35CB"/>
    <w:rsid w:val="005E0D1C"/>
    <w:rsid w:val="00607D13"/>
    <w:rsid w:val="00663A40"/>
    <w:rsid w:val="00666DFB"/>
    <w:rsid w:val="006B1B69"/>
    <w:rsid w:val="006B269E"/>
    <w:rsid w:val="006C77C3"/>
    <w:rsid w:val="007113BB"/>
    <w:rsid w:val="00722417"/>
    <w:rsid w:val="007238B4"/>
    <w:rsid w:val="007B533F"/>
    <w:rsid w:val="007B6421"/>
    <w:rsid w:val="0080292E"/>
    <w:rsid w:val="00807354"/>
    <w:rsid w:val="008370DB"/>
    <w:rsid w:val="00860D54"/>
    <w:rsid w:val="008705FB"/>
    <w:rsid w:val="008E0CDE"/>
    <w:rsid w:val="009D64F7"/>
    <w:rsid w:val="009F0B51"/>
    <w:rsid w:val="00A013A9"/>
    <w:rsid w:val="00A04DB4"/>
    <w:rsid w:val="00A4166E"/>
    <w:rsid w:val="00A5658B"/>
    <w:rsid w:val="00AA7A26"/>
    <w:rsid w:val="00AE33D0"/>
    <w:rsid w:val="00B00078"/>
    <w:rsid w:val="00B51093"/>
    <w:rsid w:val="00B62DD1"/>
    <w:rsid w:val="00B7310C"/>
    <w:rsid w:val="00B90263"/>
    <w:rsid w:val="00C3206D"/>
    <w:rsid w:val="00CE7487"/>
    <w:rsid w:val="00D52686"/>
    <w:rsid w:val="00D5656F"/>
    <w:rsid w:val="00D72A9A"/>
    <w:rsid w:val="00DC2E30"/>
    <w:rsid w:val="00E3456E"/>
    <w:rsid w:val="00E53977"/>
    <w:rsid w:val="00E85CAD"/>
    <w:rsid w:val="00EA5A74"/>
    <w:rsid w:val="00EA623F"/>
    <w:rsid w:val="00EB0DA1"/>
    <w:rsid w:val="00EB3B41"/>
    <w:rsid w:val="00F03C37"/>
    <w:rsid w:val="00F212DE"/>
    <w:rsid w:val="00F618ED"/>
    <w:rsid w:val="00F74FE1"/>
    <w:rsid w:val="00F82DF9"/>
    <w:rsid w:val="00F90064"/>
    <w:rsid w:val="00F95D99"/>
    <w:rsid w:val="00F97D30"/>
    <w:rsid w:val="00FC65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03A64-6BFA-442E-9922-24DD0C2B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421"/>
    <w:pPr>
      <w:ind w:left="720"/>
      <w:contextualSpacing/>
    </w:pPr>
  </w:style>
  <w:style w:type="paragraph" w:styleId="En-tte">
    <w:name w:val="header"/>
    <w:basedOn w:val="Normal"/>
    <w:link w:val="En-tteCar"/>
    <w:uiPriority w:val="99"/>
    <w:unhideWhenUsed/>
    <w:rsid w:val="00282D1A"/>
    <w:pPr>
      <w:tabs>
        <w:tab w:val="center" w:pos="4536"/>
        <w:tab w:val="right" w:pos="9072"/>
      </w:tabs>
      <w:spacing w:after="0" w:line="240" w:lineRule="auto"/>
    </w:pPr>
  </w:style>
  <w:style w:type="character" w:customStyle="1" w:styleId="En-tteCar">
    <w:name w:val="En-tête Car"/>
    <w:basedOn w:val="Policepardfaut"/>
    <w:link w:val="En-tte"/>
    <w:uiPriority w:val="99"/>
    <w:rsid w:val="00282D1A"/>
  </w:style>
  <w:style w:type="paragraph" w:styleId="Pieddepage">
    <w:name w:val="footer"/>
    <w:basedOn w:val="Normal"/>
    <w:link w:val="PieddepageCar"/>
    <w:uiPriority w:val="99"/>
    <w:unhideWhenUsed/>
    <w:rsid w:val="00282D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D1A"/>
  </w:style>
  <w:style w:type="table" w:styleId="Grilledutableau">
    <w:name w:val="Table Grid"/>
    <w:basedOn w:val="TableauNormal"/>
    <w:uiPriority w:val="39"/>
    <w:rsid w:val="0017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8D1E-6528-4B4D-86C3-53B29D51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4</Pages>
  <Words>1016</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INSUL CO</dc:creator>
  <cp:keywords/>
  <dc:description/>
  <cp:lastModifiedBy>INSUL CO</cp:lastModifiedBy>
  <cp:revision>22</cp:revision>
  <dcterms:created xsi:type="dcterms:W3CDTF">2014-06-03T13:57:00Z</dcterms:created>
  <dcterms:modified xsi:type="dcterms:W3CDTF">2014-06-13T12:40:00Z</dcterms:modified>
</cp:coreProperties>
</file>